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Приложение №</w:t>
      </w:r>
      <w:r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 1</w:t>
      </w:r>
      <w:bookmarkStart w:id="0" w:name="_Hlk66176124"/>
      <w:r/>
      <w:bookmarkStart w:id="1" w:name="_Hlk66176083"/>
      <w:r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 </w:t>
      </w:r>
      <w:bookmarkStart w:id="2" w:name="_GoBack"/>
      <w:r/>
      <w:bookmarkEnd w:id="2"/>
      <w:r>
        <w:rPr>
          <w:rFonts w:ascii="Liberation Serif" w:hAnsi="Liberation Serif" w:eastAsia="Times New Roman" w:cs="Liberation Serif"/>
          <w:lang w:eastAsia="ru-RU"/>
        </w:rPr>
        <w:t xml:space="preserve">к ТЗ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44" w:after="144"/>
        <w:rPr>
          <w:rFonts w:ascii="Liberation Serif" w:hAnsi="Liberation Serif" w:cs="Liberation Serif"/>
          <w:b/>
          <w:bCs/>
          <w:sz w:val="26"/>
          <w:szCs w:val="26"/>
        </w:rPr>
      </w:pPr>
      <w:r>
        <w:rPr>
          <w:rFonts w:ascii="Liberation Serif" w:hAnsi="Liberation Serif" w:cs="Liberation Serif"/>
          <w:b/>
          <w:bCs/>
          <w:sz w:val="26"/>
          <w:szCs w:val="26"/>
        </w:rPr>
        <w:t xml:space="preserve">Рекомендации для формирования стоимости работ по техническому </w:t>
      </w:r>
      <w:r>
        <w:rPr>
          <w:rFonts w:ascii="Liberation Serif" w:hAnsi="Liberation Serif" w:cs="Liberation Serif"/>
          <w:b/>
          <w:bCs/>
          <w:sz w:val="26"/>
          <w:szCs w:val="26"/>
        </w:rPr>
        <w:t xml:space="preserve">обслуживанию и ремонту</w:t>
      </w:r>
      <w:r>
        <w:rPr>
          <w:rFonts w:ascii="Liberation Serif" w:hAnsi="Liberation Serif" w:cs="Liberation Serif"/>
          <w:b/>
          <w:bCs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bCs/>
          <w:sz w:val="26"/>
          <w:szCs w:val="26"/>
        </w:rPr>
        <w:t xml:space="preserve">энергетического оборудования</w:t>
      </w:r>
      <w:bookmarkEnd w:id="0"/>
      <w:r>
        <w:rPr>
          <w:rFonts w:ascii="Liberation Serif" w:hAnsi="Liberation Serif" w:cs="Liberation Serif"/>
          <w:b/>
          <w:bCs/>
          <w:sz w:val="26"/>
          <w:szCs w:val="26"/>
        </w:rPr>
        <w:t xml:space="preserve">.</w:t>
      </w:r>
      <w:r>
        <w:rPr>
          <w:rFonts w:ascii="Liberation Serif" w:hAnsi="Liberation Serif" w:cs="Liberation Serif"/>
          <w:b/>
          <w:bCs/>
          <w:sz w:val="26"/>
          <w:szCs w:val="26"/>
        </w:rPr>
      </w:r>
      <w:r>
        <w:rPr>
          <w:rFonts w:ascii="Liberation Serif" w:hAnsi="Liberation Serif" w:cs="Liberation Serif"/>
          <w:b/>
          <w:bCs/>
          <w:sz w:val="26"/>
          <w:szCs w:val="26"/>
        </w:rPr>
      </w:r>
    </w:p>
    <w:p>
      <w:pPr>
        <w:pStyle w:val="929"/>
        <w:numPr>
          <w:ilvl w:val="0"/>
          <w:numId w:val="48"/>
        </w:numPr>
        <w:ind w:left="851" w:hanging="851"/>
        <w:jc w:val="both"/>
        <w:tabs>
          <w:tab w:val="clear" w:pos="360" w:leader="none"/>
        </w:tabs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pPr>
      <w:r/>
      <w:bookmarkStart w:id="3" w:name="_Toc530742342"/>
      <w:r/>
      <w:bookmarkEnd w:id="1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  <w:t xml:space="preserve">Порядок применения нормативной базы при разработке сметной документации</w:t>
      </w:r>
      <w:bookmarkEnd w:id="3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Сметная документация на техническое обслуживание и ремонт энергооборудования (далее – </w:t>
      </w:r>
      <w:r>
        <w:rPr>
          <w:rFonts w:ascii="Liberation Serif" w:hAnsi="Liberation Serif" w:cs="Liberation Serif"/>
        </w:rPr>
        <w:t xml:space="preserve">ТОиР</w:t>
      </w:r>
      <w:r>
        <w:rPr>
          <w:rFonts w:ascii="Liberation Serif" w:hAnsi="Liberation Serif" w:cs="Liberation Serif"/>
        </w:rPr>
        <w:t xml:space="preserve">) составляется на основе исходных данных Заказчика (ведомостей объёмов работ, технических заданий, прилагаемых к ним спецификаций и т.п.) в составе ТЗ.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Основн</w:t>
      </w:r>
      <w:r>
        <w:rPr>
          <w:rFonts w:ascii="Liberation Serif" w:hAnsi="Liberation Serif" w:cs="Liberation Serif"/>
        </w:rPr>
        <w:t xml:space="preserve">ыми видами расчётов стоимости работ являются сметные расчеты, сформированные базисно-индексным методом на основании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ascii="Liberation Serif" w:hAnsi="Liberation Serif" w:cs="Liberation Serif"/>
        </w:rPr>
        <w:t xml:space="preserve">техперевооружению</w:t>
      </w:r>
      <w:r>
        <w:rPr>
          <w:rFonts w:ascii="Liberation Serif" w:hAnsi="Liberation Serif" w:cs="Liberation Serif"/>
        </w:rPr>
        <w:t xml:space="preserve">» (далее - БЦ РЭО) и Дополнений к ним.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В случае отсутствия цен в БЦ РЭО следует руководствоваться следующей приоритетностью выбора методов расчета сметной стоимости: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num" w:pos="993" w:leader="none"/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Калькуляции;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num" w:pos="993" w:leader="none"/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«Прейскуранты ОРГРЭС» и иные Ведомственные сборники.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 БЦ РЭО применяется поправочный индекс. Уровень предельных значений поправочного индекса при пересчете в текущие цены принимается на уровне, не выше установленного Заказчиком.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БЦ РЭО не учте</w:t>
      </w:r>
      <w:r>
        <w:rPr>
          <w:rFonts w:ascii="Liberation Serif" w:hAnsi="Liberation Serif" w:cs="Liberation Serif"/>
        </w:rPr>
        <w:t xml:space="preserve">ны: стоимость материалов и запасных частей, затраты на эксплуатацию основных крупногабаритных машин и механизмов, доплата за выполнение работ в тяжелых и особо тяжелых, вредных и особо вредных условиях труда (кроме частей 13, 14 БЦ РЭО), доплата по районно</w:t>
      </w:r>
      <w:r>
        <w:rPr>
          <w:rFonts w:ascii="Liberation Serif" w:hAnsi="Liberation Serif" w:cs="Liberation Serif"/>
        </w:rPr>
        <w:t xml:space="preserve">му коэффициенту, а также процентные надбавки к заработной плате и другие льготы, предусмотренные для районов Крайнего Севера, приравненных к ним местностей и остальных районов Севера. Порядок применения доплат приводится в «Общих положениях» частей БЦ РЭО.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Согласно «Общим положениям» частей БЦ РЭО в работах по ремонту энергооборудования не учтены затраты по доставке МТР, используемых при ремонте, от склада д</w:t>
      </w:r>
      <w:r>
        <w:rPr>
          <w:rFonts w:ascii="Liberation Serif" w:hAnsi="Liberation Serif" w:cs="Liberation Serif"/>
        </w:rPr>
        <w:t xml:space="preserve">о рабочей площадки, но учтены затраты по их перемещению на рабочей площадке. Стоимость работ по доставке МТР от склада до рабочей площадки и погрузо-разгрузочных работ определяется на основании Федеральных/ Территориальных сметных расценок или калькуляций.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Материально-технические ресурсы (далее - МТР), используемые при производстве работ по ремонту энергетического оборудования, отражаются в сметной документации отдельными разделами: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num" w:pos="851" w:leader="none"/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МТР Подрядчика;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num" w:pos="851" w:leader="none"/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МТР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материалов и запасных частей, используемых при ремонте энергооборудования, определяется следующими методами (в порядке их приоритетности):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основе договорных цен с производителями и цен, приведенных в прайс-листах, с учетом транспортных и заготовительно-складских расходов (далее - ТЗСР). Уровень ТЗСР при подаче предложений принимается на уровне, не выше установленного Заказчиком;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основе справочников Территориальных сметных цен на материалы с использованием актуальных индексов пересчета в текущие цены на материалы, издаваемых региональными центрами ценообразования в строительстве и промышленности строительных материалов;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основе Федеральных сме</w:t>
      </w:r>
      <w:r>
        <w:rPr>
          <w:rFonts w:ascii="Liberation Serif" w:hAnsi="Liberation Serif" w:cs="Liberation Serif"/>
        </w:rPr>
        <w:t xml:space="preserve">тных цен на материалы с использованием актуальных индексов пересчета в текущие цены на материалы, издаваемых региональными центрами ценообразования в строительстве и промышленности строительных материалов или иным уполномоченным органом по ценообразованию.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Номенклатура и количество расходуемых МТР определяется на основании номенклатуры и объемов выполняемых работ, но не может превышать нормы расхода МТР, регламентированные действующими сметно-нормативными базами или нормы заводов-изготовителей.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составе накладных расходов БЦ РЭО учтены затраты на составление сметной документации, соответственно в сметных расчетах указанные затраты дополнительно не учитываются.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БЦ РЭО учтены затраты на применение необходимых в соответствии с технологией производства работ ручных и электрических лебёдок, за исключением части 21, в которой приведён раздел 01 «Средства механизации, оснастка и леса».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сметную документацию на </w:t>
      </w:r>
      <w:r>
        <w:rPr>
          <w:rFonts w:ascii="Liberation Serif" w:hAnsi="Liberation Serif" w:cs="Liberation Serif"/>
        </w:rPr>
        <w:t xml:space="preserve">ТОиР</w:t>
      </w:r>
      <w:r>
        <w:rPr>
          <w:rFonts w:ascii="Liberation Serif" w:hAnsi="Liberation Serif" w:cs="Liberation Serif"/>
        </w:rPr>
        <w:t xml:space="preserve"> энергооборудования </w:t>
      </w:r>
      <w:r>
        <w:rPr>
          <w:rFonts w:ascii="Liberation Serif" w:hAnsi="Liberation Serif" w:cs="Liberation Serif"/>
          <w:b/>
        </w:rPr>
        <w:t xml:space="preserve">недопустимо</w:t>
      </w:r>
      <w:r>
        <w:rPr>
          <w:rFonts w:ascii="Liberation Serif" w:hAnsi="Liberation Serif" w:cs="Liberation Serif"/>
        </w:rPr>
        <w:t xml:space="preserve"> включение «непредвиденных затрат».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Дополнительные затраты, такие как доставка инструмента, спецодежда, учету в составе сметной стоимости не подлежат.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формировании сметной документации необходимо учитывать разъяснения ЗАО «ЦКБ </w:t>
      </w:r>
      <w:r>
        <w:rPr>
          <w:rFonts w:ascii="Liberation Serif" w:hAnsi="Liberation Serif" w:cs="Liberation Serif"/>
        </w:rPr>
        <w:t xml:space="preserve">Энергоремонт</w:t>
      </w:r>
      <w:r>
        <w:rPr>
          <w:rFonts w:ascii="Liberation Serif" w:hAnsi="Liberation Serif" w:cs="Liberation Serif"/>
        </w:rPr>
        <w:t xml:space="preserve">», изложенные в периодических изданиях «Систематизированных обзорах разъяснений по вопросам применения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r>
        <w:rPr>
          <w:rFonts w:ascii="Liberation Serif" w:hAnsi="Liberation Serif" w:cs="Liberation Serif"/>
        </w:rPr>
        <w:t xml:space="preserve">техперевооружению</w:t>
      </w:r>
      <w:r>
        <w:rPr>
          <w:rFonts w:ascii="Liberation Serif" w:hAnsi="Liberation Serif" w:cs="Liberation Serif"/>
        </w:rPr>
        <w:t xml:space="preserve">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29"/>
        <w:numPr>
          <w:ilvl w:val="0"/>
          <w:numId w:val="48"/>
        </w:numPr>
        <w:ind w:left="851" w:hanging="851"/>
        <w:jc w:val="both"/>
        <w:tabs>
          <w:tab w:val="clear" w:pos="360" w:leader="none"/>
        </w:tabs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pPr>
      <w:r/>
      <w:bookmarkStart w:id="4" w:name="_Toc530742343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  <w:t xml:space="preserve">Определение стоимости работ по калькуляции</w:t>
      </w:r>
      <w:bookmarkEnd w:id="4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Определение стои</w:t>
      </w:r>
      <w:r>
        <w:rPr>
          <w:rFonts w:ascii="Liberation Serif" w:hAnsi="Liberation Serif" w:cs="Liberation Serif"/>
        </w:rPr>
        <w:t xml:space="preserve">мости работ по калькуляциям допустимо исключительно в случае отсутствия в БЦ РЭО и Дополнениях к ним отдельных работ по ремонту энергетического оборудования, а также в случае несоответствия фактического состава работ составу, предусмотренному ценой БЦ РЭО.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Калькуляции составляются в соответствии с положениями СО 34.20.607-2005 «Методические указания по формированию смет и калькуляций на ремонт энергооборудования». При этом: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Затраты труда определяются на основе технически обоснованных норм времени согласно действующим нормативным документам. Форма расшифровки трудовых затрат приведена в приложении 5 к СО 34.20.607-2005;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8"/>
        </w:numPr>
        <w:ind w:left="851" w:hanging="851"/>
        <w:jc w:val="both"/>
        <w:spacing w:before="120" w:after="120" w:line="240" w:lineRule="auto"/>
        <w:tabs>
          <w:tab w:val="clear" w:pos="171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Основная заработная плата определяется на основании тарифной ставки, учтенной в индексе с учетом доплат, предусмотренных действующим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отсутствия норм времени в нормативных документах и справочниках, обоснование трудозатрат возможно на основе технологических карт, норм времени, утвержденных и применяемых Подрядчиком.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цены, определённые по калькуляциям, не распространяются «Общие положения» частей БЦ РЭО.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исключительных случаях, когда определить стоимость работ по </w:t>
      </w:r>
      <w:r>
        <w:rPr>
          <w:rFonts w:ascii="Liberation Serif" w:hAnsi="Liberation Serif" w:cs="Liberation Serif"/>
        </w:rPr>
        <w:t xml:space="preserve">ТОиР</w:t>
      </w:r>
      <w:r>
        <w:rPr>
          <w:rFonts w:ascii="Liberation Serif" w:hAnsi="Liberation Serif" w:cs="Liberation Serif"/>
        </w:rPr>
        <w:t xml:space="preserve"> на основании БЦ РЭО не представляется возможным ввиду отсутствия цен на отдельные виды</w:t>
      </w:r>
      <w:r>
        <w:rPr>
          <w:rFonts w:ascii="Liberation Serif" w:hAnsi="Liberation Serif" w:cs="Liberation Serif"/>
        </w:rPr>
        <w:t xml:space="preserve"> работ, а подсчет фактических норм и описание объёмов работ с целью составления калькуляций затруднены, допустимо применение Ведомственных сборников, например, «Прейскурантов ОРГРЭС», ВУЕР, ВСН и т.п. При этом технология и вид работ должны однозначно соотв</w:t>
      </w:r>
      <w:r>
        <w:rPr>
          <w:rFonts w:ascii="Liberation Serif" w:hAnsi="Liberation Serif" w:cs="Liberation Serif"/>
        </w:rPr>
        <w:t xml:space="preserve">етствовать описанным работам в данных сборниках. Поправочные индексы пересчёта к Базовой стоимости Прейскурантов, Ведомственных сборников (ОРГРЭС, ВСН, и т.п.) должны быть обоснованы расчетами, при этом уровень индексов принимается на усмотрение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29"/>
        <w:numPr>
          <w:ilvl w:val="0"/>
          <w:numId w:val="48"/>
        </w:numPr>
        <w:ind w:left="851" w:hanging="851"/>
        <w:jc w:val="both"/>
        <w:tabs>
          <w:tab w:val="clear" w:pos="360" w:leader="none"/>
        </w:tabs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pPr>
      <w:r/>
      <w:bookmarkStart w:id="5" w:name="_Toc530742344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  <w:t xml:space="preserve">Практические рекомендации по определению стоимости работ на </w:t>
      </w:r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  <w:t xml:space="preserve">ТОиР</w:t>
      </w:r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  <w:t xml:space="preserve"> энергетического оборудования.</w:t>
      </w:r>
      <w:bookmarkEnd w:id="5"/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  <w:r>
        <w:rPr>
          <w:rStyle w:val="943"/>
          <w:rFonts w:ascii="Liberation Serif" w:hAnsi="Liberation Serif" w:cs="Liberation Serif"/>
          <w:b/>
          <w:color w:val="auto"/>
          <w:sz w:val="22"/>
          <w:szCs w:val="22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Рекомендуемая форма смет, составляемых на основании БЦ РЭО, приведена в приложениях № 3, 4 к СО 34.20.607-2005.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составлении смет по </w:t>
      </w:r>
      <w:r>
        <w:rPr>
          <w:rFonts w:ascii="Liberation Serif" w:hAnsi="Liberation Serif" w:cs="Liberation Serif"/>
        </w:rPr>
        <w:t xml:space="preserve">ТОиР</w:t>
      </w:r>
      <w:r>
        <w:rPr>
          <w:rFonts w:ascii="Liberation Serif" w:hAnsi="Liberation Serif" w:cs="Liberation Serif"/>
        </w:rPr>
        <w:t xml:space="preserve"> на основании БЦ РЭО должны быть полностью учтены изменения, включённые в Дополнения к БЦ РЭО.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составлении смет на основании БЦ РЭО и Дополнений к ним следует учитывать «Общие положения», Примечания к раз</w:t>
      </w:r>
      <w:r>
        <w:rPr>
          <w:rFonts w:ascii="Liberation Serif" w:hAnsi="Liberation Serif" w:cs="Liberation Serif"/>
        </w:rPr>
        <w:t xml:space="preserve">делам, таблицам и позициям в частях БЦ РЭО. При составлении сметных расчётов с использованием расценок одной из частей БЦ РЭО не допускается применение коэффициентов, приведенных в «Общих положениях» БЦ РЭО и примечаниях к разделам по другим частям БЦ РЭО.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сметной документации подлежат расшифровке как основные, так и вспомогательные материалы.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позиции в смете должны быть обоснованы и грамотно заполнены (обоснование цен на работы и МТР, применяемых коэффициентов и т.д.).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Единицы измерения объёмов работ и МТР должны быть обоснованы в соответствии с принятыми в сборниках БЦ РЭО и иных нормативов (т, м3, м2, шт. и т.п.).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необходимости в сметных расчетах допустим учёт командировочных затрат подрядчика согласно предварительным обосн</w:t>
      </w:r>
      <w:r>
        <w:rPr>
          <w:rFonts w:ascii="Liberation Serif" w:hAnsi="Liberation Serif" w:cs="Liberation Serif"/>
        </w:rPr>
        <w:t xml:space="preserve">овывающим расчетам в рамках предельной цены мероприятия. Окончательные расчеты с заказчиком производятся по фактическим затратам, подтвержденным расчетами с предоставлением первичных бухгалтерских и иных отчетных документов, согласованных заказчиком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определении в сметной документации стоимости МТР на основании прайс-листов, необходимо указывать наименование организации и дату составления прайс-листа. К сметным расчетам должны быть приложены документы, обосновывающие стоимость МТР.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Составление смет на дополнительные работы, выявленные в процессе </w:t>
      </w:r>
      <w:r>
        <w:rPr>
          <w:rFonts w:ascii="Liberation Serif" w:hAnsi="Liberation Serif" w:cs="Liberation Serif"/>
        </w:rPr>
        <w:t xml:space="preserve">ТОиР</w:t>
      </w:r>
      <w:r>
        <w:rPr>
          <w:rFonts w:ascii="Liberation Serif" w:hAnsi="Liberation Serif" w:cs="Liberation Serif"/>
        </w:rPr>
        <w:t xml:space="preserve"> энергооборудования, производится в том же порядке, что и на основные работы.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8"/>
        </w:numPr>
        <w:ind w:left="851" w:hanging="851"/>
        <w:jc w:val="both"/>
        <w:spacing w:before="120" w:after="12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случае необходимости выполнения, по результатам дефектации, дополнительных работ к основному договору подряда, поправочный индекс на дополнительные работы не должен превышать значение поправочного индекса в сметных расчётах на основные работы по 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38"/>
        <w:ind w:left="851" w:hanging="851"/>
        <w:jc w:val="both"/>
        <w:tabs>
          <w:tab w:val="num" w:pos="99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Сметная документация должна быть подписана ее составителем.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38"/>
        <w:ind w:left="851" w:hanging="851"/>
        <w:jc w:val="both"/>
        <w:tabs>
          <w:tab w:val="num" w:pos="99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38"/>
        <w:ind w:left="851" w:hanging="851"/>
        <w:jc w:val="both"/>
        <w:tabs>
          <w:tab w:val="num" w:pos="99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144" w:after="144" w:line="240" w:lineRule="auto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r>
      <w:r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418" w:header="708" w:footer="44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20102010507070707"/>
  </w:font>
  <w:font w:name="Courier New">
    <w:panose1 w:val="02070309020205020404"/>
  </w:font>
  <w:font w:name="Symbol">
    <w:panose1 w:val="0505010200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bullet"/>
      <w:isLgl w:val="false"/>
      <w:suff w:val="tab"/>
      <w:lvlText w:val=""/>
      <w:lvlJc w:val="left"/>
      <w:pPr>
        <w:ind w:left="1713" w:hanging="720"/>
        <w:tabs>
          <w:tab w:val="num" w:pos="1713" w:leader="none"/>
        </w:tabs>
      </w:pPr>
      <w:rPr>
        <w:rFonts w:hint="default" w:ascii="Symbol" w:hAnsi="Symbol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80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10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392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324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7616" w:hanging="216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bullet"/>
      <w:isLgl w:val="false"/>
      <w:suff w:val="tab"/>
      <w:lvlText w:val=""/>
      <w:lvlJc w:val="left"/>
      <w:pPr>
        <w:ind w:left="1713" w:hanging="720"/>
        <w:tabs>
          <w:tab w:val="num" w:pos="1713" w:leader="none"/>
        </w:tabs>
      </w:pPr>
      <w:rPr>
        <w:rFonts w:hint="default" w:ascii="Symbol" w:hAnsi="Symbol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52" w:hanging="720"/>
      </w:pPr>
      <w:rPr>
        <w:rFonts w:hint="default"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cs="Times New Roman"/>
        <w:b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6876" w:hanging="1080"/>
      </w:pPr>
      <w:rPr>
        <w:rFonts w:hint="default" w:ascii="Symbol" w:hAnsi="Symbol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80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10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392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324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7616" w:hanging="2160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  <w:tabs>
          <w:tab w:val="num" w:pos="1429" w:leader="none"/>
        </w:tabs>
      </w:pPr>
      <w:rPr>
        <w:rFonts w:cs="Times New Roman"/>
        <w:i w:val="0"/>
        <w:i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2149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 w:cs="Times New Roman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bullet"/>
      <w:isLgl w:val="false"/>
      <w:suff w:val="tab"/>
      <w:lvlText w:val=""/>
      <w:lvlJc w:val="left"/>
      <w:pPr>
        <w:ind w:left="1713" w:hanging="720"/>
        <w:tabs>
          <w:tab w:val="num" w:pos="1713" w:leader="none"/>
        </w:tabs>
      </w:pPr>
      <w:rPr>
        <w:rFonts w:hint="default" w:ascii="Symbol" w:hAnsi="Symbol"/>
        <w:b w:val="0"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28"/>
  </w:num>
  <w:num w:numId="4">
    <w:abstractNumId w:val="2"/>
  </w:num>
  <w:num w:numId="5">
    <w:abstractNumId w:val="12"/>
  </w:num>
  <w:num w:numId="6">
    <w:abstractNumId w:val="40"/>
  </w:num>
  <w:num w:numId="7">
    <w:abstractNumId w:val="41"/>
  </w:num>
  <w:num w:numId="8">
    <w:abstractNumId w:val="43"/>
  </w:num>
  <w:num w:numId="9">
    <w:abstractNumId w:val="10"/>
  </w:num>
  <w:num w:numId="10">
    <w:abstractNumId w:val="36"/>
  </w:num>
  <w:num w:numId="11">
    <w:abstractNumId w:val="44"/>
  </w:num>
  <w:num w:numId="12">
    <w:abstractNumId w:val="27"/>
  </w:num>
  <w:num w:numId="13">
    <w:abstractNumId w:val="39"/>
  </w:num>
  <w:num w:numId="14">
    <w:abstractNumId w:val="32"/>
  </w:num>
  <w:num w:numId="15">
    <w:abstractNumId w:val="14"/>
  </w:num>
  <w:num w:numId="16">
    <w:abstractNumId w:val="34"/>
  </w:num>
  <w:num w:numId="17">
    <w:abstractNumId w:val="22"/>
  </w:num>
  <w:num w:numId="18">
    <w:abstractNumId w:val="35"/>
  </w:num>
  <w:num w:numId="19">
    <w:abstractNumId w:val="8"/>
  </w:num>
  <w:num w:numId="20">
    <w:abstractNumId w:val="29"/>
  </w:num>
  <w:num w:numId="21">
    <w:abstractNumId w:val="5"/>
  </w:num>
  <w:num w:numId="22">
    <w:abstractNumId w:val="19"/>
  </w:num>
  <w:num w:numId="23">
    <w:abstractNumId w:val="9"/>
  </w:num>
  <w:num w:numId="24">
    <w:abstractNumId w:val="45"/>
  </w:num>
  <w:num w:numId="25">
    <w:abstractNumId w:val="1"/>
  </w:num>
  <w:num w:numId="26">
    <w:abstractNumId w:val="21"/>
  </w:num>
  <w:num w:numId="27">
    <w:abstractNumId w:val="26"/>
  </w:num>
  <w:num w:numId="28">
    <w:abstractNumId w:val="16"/>
  </w:num>
  <w:num w:numId="29">
    <w:abstractNumId w:val="37"/>
  </w:num>
  <w:num w:numId="30">
    <w:abstractNumId w:val="18"/>
  </w:num>
  <w:num w:numId="31">
    <w:abstractNumId w:val="25"/>
  </w:num>
  <w:num w:numId="32">
    <w:abstractNumId w:val="15"/>
  </w:num>
  <w:num w:numId="33">
    <w:abstractNumId w:val="33"/>
  </w:num>
  <w:num w:numId="34">
    <w:abstractNumId w:val="0"/>
  </w:num>
  <w:num w:numId="35">
    <w:abstractNumId w:val="20"/>
  </w:num>
  <w:num w:numId="36">
    <w:abstractNumId w:val="13"/>
  </w:num>
  <w:num w:numId="37">
    <w:abstractNumId w:val="38"/>
  </w:num>
  <w:num w:numId="38">
    <w:abstractNumId w:val="4"/>
  </w:num>
  <w:num w:numId="39">
    <w:abstractNumId w:val="46"/>
  </w:num>
  <w:num w:numId="40">
    <w:abstractNumId w:val="24"/>
  </w:num>
  <w:num w:numId="41">
    <w:abstractNumId w:val="6"/>
  </w:num>
  <w:num w:numId="42">
    <w:abstractNumId w:val="23"/>
  </w:num>
  <w:num w:numId="43">
    <w:abstractNumId w:val="3"/>
  </w:num>
  <w:num w:numId="44">
    <w:abstractNumId w:val="17"/>
  </w:num>
  <w:num w:numId="45">
    <w:abstractNumId w:val="7"/>
  </w:num>
  <w:num w:numId="46">
    <w:abstractNumId w:val="31"/>
  </w:num>
  <w:num w:numId="47">
    <w:abstractNumId w:val="30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9">
    <w:name w:val="Heading 1 Char"/>
    <w:basedOn w:val="931"/>
    <w:link w:val="929"/>
    <w:uiPriority w:val="9"/>
    <w:rPr>
      <w:rFonts w:ascii="Arial" w:hAnsi="Arial" w:eastAsia="Arial" w:cs="Arial"/>
      <w:sz w:val="40"/>
      <w:szCs w:val="40"/>
    </w:rPr>
  </w:style>
  <w:style w:type="character" w:styleId="760">
    <w:name w:val="Heading 2 Char"/>
    <w:basedOn w:val="931"/>
    <w:link w:val="930"/>
    <w:uiPriority w:val="9"/>
    <w:rPr>
      <w:rFonts w:ascii="Arial" w:hAnsi="Arial" w:eastAsia="Arial" w:cs="Arial"/>
      <w:sz w:val="34"/>
    </w:rPr>
  </w:style>
  <w:style w:type="paragraph" w:styleId="761">
    <w:name w:val="Heading 3"/>
    <w:basedOn w:val="928"/>
    <w:next w:val="928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basedOn w:val="931"/>
    <w:link w:val="761"/>
    <w:uiPriority w:val="9"/>
    <w:rPr>
      <w:rFonts w:ascii="Arial" w:hAnsi="Arial" w:eastAsia="Arial" w:cs="Arial"/>
      <w:sz w:val="30"/>
      <w:szCs w:val="30"/>
    </w:rPr>
  </w:style>
  <w:style w:type="paragraph" w:styleId="763">
    <w:name w:val="Heading 4"/>
    <w:basedOn w:val="928"/>
    <w:next w:val="928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basedOn w:val="931"/>
    <w:link w:val="763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28"/>
    <w:next w:val="928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basedOn w:val="931"/>
    <w:link w:val="765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28"/>
    <w:next w:val="928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basedOn w:val="931"/>
    <w:link w:val="767"/>
    <w:uiPriority w:val="9"/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928"/>
    <w:next w:val="928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basedOn w:val="931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928"/>
    <w:next w:val="928"/>
    <w:link w:val="7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basedOn w:val="931"/>
    <w:link w:val="771"/>
    <w:uiPriority w:val="9"/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928"/>
    <w:next w:val="928"/>
    <w:link w:val="7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basedOn w:val="931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775">
    <w:name w:val="No Spacing"/>
    <w:uiPriority w:val="1"/>
    <w:qFormat/>
    <w:pPr>
      <w:spacing w:before="0" w:after="0" w:line="240" w:lineRule="auto"/>
    </w:pPr>
  </w:style>
  <w:style w:type="paragraph" w:styleId="776">
    <w:name w:val="Title"/>
    <w:basedOn w:val="928"/>
    <w:next w:val="928"/>
    <w:link w:val="7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7">
    <w:name w:val="Title Char"/>
    <w:basedOn w:val="931"/>
    <w:link w:val="776"/>
    <w:uiPriority w:val="10"/>
    <w:rPr>
      <w:sz w:val="48"/>
      <w:szCs w:val="48"/>
    </w:rPr>
  </w:style>
  <w:style w:type="paragraph" w:styleId="778">
    <w:name w:val="Subtitle"/>
    <w:basedOn w:val="928"/>
    <w:next w:val="928"/>
    <w:link w:val="779"/>
    <w:uiPriority w:val="11"/>
    <w:qFormat/>
    <w:pPr>
      <w:spacing w:before="200" w:after="200"/>
    </w:pPr>
    <w:rPr>
      <w:sz w:val="24"/>
      <w:szCs w:val="24"/>
    </w:rPr>
  </w:style>
  <w:style w:type="character" w:styleId="779">
    <w:name w:val="Subtitle Char"/>
    <w:basedOn w:val="931"/>
    <w:link w:val="778"/>
    <w:uiPriority w:val="11"/>
    <w:rPr>
      <w:sz w:val="24"/>
      <w:szCs w:val="24"/>
    </w:rPr>
  </w:style>
  <w:style w:type="paragraph" w:styleId="780">
    <w:name w:val="Quote"/>
    <w:basedOn w:val="928"/>
    <w:next w:val="928"/>
    <w:link w:val="781"/>
    <w:uiPriority w:val="29"/>
    <w:qFormat/>
    <w:pPr>
      <w:ind w:left="720" w:right="720"/>
    </w:pPr>
    <w:rPr>
      <w:i/>
    </w:rPr>
  </w:style>
  <w:style w:type="character" w:styleId="781">
    <w:name w:val="Quote Char"/>
    <w:link w:val="780"/>
    <w:uiPriority w:val="29"/>
    <w:rPr>
      <w:i/>
    </w:rPr>
  </w:style>
  <w:style w:type="paragraph" w:styleId="782">
    <w:name w:val="Intense Quote"/>
    <w:basedOn w:val="928"/>
    <w:next w:val="928"/>
    <w:link w:val="7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3">
    <w:name w:val="Intense Quote Char"/>
    <w:link w:val="782"/>
    <w:uiPriority w:val="30"/>
    <w:rPr>
      <w:i/>
    </w:rPr>
  </w:style>
  <w:style w:type="character" w:styleId="784">
    <w:name w:val="Header Char"/>
    <w:basedOn w:val="931"/>
    <w:link w:val="934"/>
    <w:uiPriority w:val="99"/>
  </w:style>
  <w:style w:type="character" w:styleId="785">
    <w:name w:val="Footer Char"/>
    <w:basedOn w:val="931"/>
    <w:link w:val="936"/>
    <w:uiPriority w:val="99"/>
  </w:style>
  <w:style w:type="paragraph" w:styleId="786">
    <w:name w:val="Caption"/>
    <w:basedOn w:val="928"/>
    <w:next w:val="928"/>
    <w:link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>
    <w:name w:val="Caption Char"/>
    <w:basedOn w:val="931"/>
    <w:link w:val="786"/>
    <w:uiPriority w:val="35"/>
    <w:rPr>
      <w:b/>
      <w:bCs/>
      <w:color w:val="4f81bd" w:themeColor="accent1"/>
      <w:sz w:val="18"/>
      <w:szCs w:val="18"/>
    </w:rPr>
  </w:style>
  <w:style w:type="table" w:styleId="788">
    <w:name w:val="Table Grid"/>
    <w:basedOn w:val="9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Table Grid Light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2"/>
    <w:basedOn w:val="9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>
    <w:name w:val="Grid Table 4 - Accent 1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8">
    <w:name w:val="Grid Table 4 - Accent 2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Grid Table 4 - Accent 3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0">
    <w:name w:val="Grid Table 4 - Accent 4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Grid Table 4 - Accent 5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2">
    <w:name w:val="Grid Table 4 - Accent 6"/>
    <w:basedOn w:val="9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3">
    <w:name w:val="Grid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0">
    <w:name w:val="Grid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1">
    <w:name w:val="Grid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2">
    <w:name w:val="Grid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3">
    <w:name w:val="Grid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4">
    <w:name w:val="Grid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5">
    <w:name w:val="Grid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2">
    <w:name w:val="List Table 2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3">
    <w:name w:val="List Table 2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4">
    <w:name w:val="List Table 2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5">
    <w:name w:val="List Table 2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6">
    <w:name w:val="List Table 2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7">
    <w:name w:val="List Table 2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6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0">
    <w:name w:val="List Table 6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1">
    <w:name w:val="List Table 6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List Table 6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3">
    <w:name w:val="List Table 6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List Table 6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5">
    <w:name w:val="List Table 6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6">
    <w:name w:val="List Table 7 Colorful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7">
    <w:name w:val="List Table 7 Colorful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8">
    <w:name w:val="List Table 7 Colorful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9">
    <w:name w:val="List Table 7 Colorful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0">
    <w:name w:val="List Table 7 Colorful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1">
    <w:name w:val="List Table 7 Colorful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2">
    <w:name w:val="List Table 7 Colorful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3">
    <w:name w:val="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 &amp; Lined - Accent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Bordered &amp; Lined - Accent 1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Bordered &amp; Lined - Accent 2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Bordered &amp; Lined - Accent 3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Bordered &amp; Lined - Accent 4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Bordered &amp; Lined - Accent 5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Bordered &amp; Lined - Accent 6"/>
    <w:basedOn w:val="9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8">
    <w:name w:val="Bordered - Accent 1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9">
    <w:name w:val="Bordered - Accent 2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0">
    <w:name w:val="Bordered - Accent 3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1">
    <w:name w:val="Bordered - Accent 4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2">
    <w:name w:val="Bordered - Accent 5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3">
    <w:name w:val="Bordered - Accent 6"/>
    <w:basedOn w:val="9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4">
    <w:name w:val="Footnote Text Char"/>
    <w:link w:val="946"/>
    <w:uiPriority w:val="99"/>
    <w:rPr>
      <w:sz w:val="18"/>
    </w:rPr>
  </w:style>
  <w:style w:type="paragraph" w:styleId="915">
    <w:name w:val="endnote text"/>
    <w:basedOn w:val="928"/>
    <w:link w:val="916"/>
    <w:uiPriority w:val="99"/>
    <w:semiHidden/>
    <w:unhideWhenUsed/>
    <w:pPr>
      <w:spacing w:after="0" w:line="240" w:lineRule="auto"/>
    </w:pPr>
    <w:rPr>
      <w:sz w:val="20"/>
    </w:rPr>
  </w:style>
  <w:style w:type="character" w:styleId="916">
    <w:name w:val="Endnote Text Char"/>
    <w:link w:val="915"/>
    <w:uiPriority w:val="99"/>
    <w:rPr>
      <w:sz w:val="20"/>
    </w:rPr>
  </w:style>
  <w:style w:type="character" w:styleId="917">
    <w:name w:val="endnote reference"/>
    <w:basedOn w:val="931"/>
    <w:uiPriority w:val="99"/>
    <w:semiHidden/>
    <w:unhideWhenUsed/>
    <w:rPr>
      <w:vertAlign w:val="superscript"/>
    </w:rPr>
  </w:style>
  <w:style w:type="paragraph" w:styleId="918">
    <w:name w:val="toc 2"/>
    <w:basedOn w:val="928"/>
    <w:next w:val="928"/>
    <w:uiPriority w:val="39"/>
    <w:unhideWhenUsed/>
    <w:pPr>
      <w:ind w:left="283" w:right="0" w:firstLine="0"/>
      <w:spacing w:after="57"/>
    </w:pPr>
  </w:style>
  <w:style w:type="paragraph" w:styleId="919">
    <w:name w:val="toc 3"/>
    <w:basedOn w:val="928"/>
    <w:next w:val="928"/>
    <w:uiPriority w:val="39"/>
    <w:unhideWhenUsed/>
    <w:pPr>
      <w:ind w:left="567" w:right="0" w:firstLine="0"/>
      <w:spacing w:after="57"/>
    </w:pPr>
  </w:style>
  <w:style w:type="paragraph" w:styleId="920">
    <w:name w:val="toc 4"/>
    <w:basedOn w:val="928"/>
    <w:next w:val="928"/>
    <w:uiPriority w:val="39"/>
    <w:unhideWhenUsed/>
    <w:pPr>
      <w:ind w:left="850" w:right="0" w:firstLine="0"/>
      <w:spacing w:after="57"/>
    </w:pPr>
  </w:style>
  <w:style w:type="paragraph" w:styleId="921">
    <w:name w:val="toc 5"/>
    <w:basedOn w:val="928"/>
    <w:next w:val="928"/>
    <w:uiPriority w:val="39"/>
    <w:unhideWhenUsed/>
    <w:pPr>
      <w:ind w:left="1134" w:right="0" w:firstLine="0"/>
      <w:spacing w:after="57"/>
    </w:pPr>
  </w:style>
  <w:style w:type="paragraph" w:styleId="922">
    <w:name w:val="toc 6"/>
    <w:basedOn w:val="928"/>
    <w:next w:val="928"/>
    <w:uiPriority w:val="39"/>
    <w:unhideWhenUsed/>
    <w:pPr>
      <w:ind w:left="1417" w:right="0" w:firstLine="0"/>
      <w:spacing w:after="57"/>
    </w:pPr>
  </w:style>
  <w:style w:type="paragraph" w:styleId="923">
    <w:name w:val="toc 7"/>
    <w:basedOn w:val="928"/>
    <w:next w:val="928"/>
    <w:uiPriority w:val="39"/>
    <w:unhideWhenUsed/>
    <w:pPr>
      <w:ind w:left="1701" w:right="0" w:firstLine="0"/>
      <w:spacing w:after="57"/>
    </w:pPr>
  </w:style>
  <w:style w:type="paragraph" w:styleId="924">
    <w:name w:val="toc 8"/>
    <w:basedOn w:val="928"/>
    <w:next w:val="928"/>
    <w:uiPriority w:val="39"/>
    <w:unhideWhenUsed/>
    <w:pPr>
      <w:ind w:left="1984" w:right="0" w:firstLine="0"/>
      <w:spacing w:after="57"/>
    </w:pPr>
  </w:style>
  <w:style w:type="paragraph" w:styleId="925">
    <w:name w:val="toc 9"/>
    <w:basedOn w:val="928"/>
    <w:next w:val="928"/>
    <w:uiPriority w:val="39"/>
    <w:unhideWhenUsed/>
    <w:pPr>
      <w:ind w:left="2268" w:right="0" w:firstLine="0"/>
      <w:spacing w:after="57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  <w:rPr>
      <w:rFonts w:ascii="Calibri" w:hAnsi="Calibri" w:eastAsia="Calibri" w:cs="Times New Roman"/>
    </w:rPr>
  </w:style>
  <w:style w:type="paragraph" w:styleId="929">
    <w:name w:val="Heading 1"/>
    <w:basedOn w:val="928"/>
    <w:next w:val="928"/>
    <w:link w:val="94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30">
    <w:name w:val="Heading 2"/>
    <w:basedOn w:val="928"/>
    <w:next w:val="928"/>
    <w:link w:val="939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931" w:default="1">
    <w:name w:val="Default Paragraph Font"/>
    <w:uiPriority w:val="1"/>
    <w:semiHidden/>
    <w:unhideWhenUsed/>
  </w:style>
  <w:style w:type="table" w:styleId="9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3" w:default="1">
    <w:name w:val="No List"/>
    <w:uiPriority w:val="99"/>
    <w:semiHidden/>
    <w:unhideWhenUsed/>
  </w:style>
  <w:style w:type="paragraph" w:styleId="934">
    <w:name w:val="Header"/>
    <w:basedOn w:val="928"/>
    <w:link w:val="935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35" w:customStyle="1">
    <w:name w:val="Верхний колонтитул Знак"/>
    <w:basedOn w:val="931"/>
    <w:link w:val="9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6">
    <w:name w:val="Footer"/>
    <w:basedOn w:val="928"/>
    <w:link w:val="93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37" w:customStyle="1">
    <w:name w:val="Нижний колонтитул Знак"/>
    <w:basedOn w:val="931"/>
    <w:link w:val="9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8">
    <w:name w:val="List Paragraph"/>
    <w:basedOn w:val="928"/>
    <w:link w:val="949"/>
    <w:uiPriority w:val="99"/>
    <w:qFormat/>
    <w:pPr>
      <w:contextualSpacing/>
      <w:ind w:left="720"/>
    </w:pPr>
  </w:style>
  <w:style w:type="character" w:styleId="939" w:customStyle="1">
    <w:name w:val="Заголовок 2 Знак"/>
    <w:basedOn w:val="931"/>
    <w:link w:val="930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940">
    <w:name w:val="Balloon Text"/>
    <w:basedOn w:val="928"/>
    <w:link w:val="94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1" w:customStyle="1">
    <w:name w:val="Текст выноски Знак"/>
    <w:basedOn w:val="931"/>
    <w:link w:val="940"/>
    <w:uiPriority w:val="99"/>
    <w:semiHidden/>
    <w:rPr>
      <w:rFonts w:ascii="Tahoma" w:hAnsi="Tahoma" w:eastAsia="Calibri" w:cs="Tahoma"/>
      <w:sz w:val="16"/>
      <w:szCs w:val="16"/>
    </w:rPr>
  </w:style>
  <w:style w:type="character" w:styleId="942" w:customStyle="1">
    <w:name w:val="Заголовок 1 Знак"/>
    <w:basedOn w:val="931"/>
    <w:link w:val="92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43">
    <w:name w:val="Book Title"/>
    <w:basedOn w:val="931"/>
    <w:uiPriority w:val="33"/>
    <w:qFormat/>
    <w:rPr>
      <w:b/>
      <w:bCs/>
      <w:smallCaps/>
      <w:spacing w:val="5"/>
    </w:rPr>
  </w:style>
  <w:style w:type="paragraph" w:styleId="944">
    <w:name w:val="toc 1"/>
    <w:basedOn w:val="928"/>
    <w:next w:val="928"/>
    <w:uiPriority w:val="39"/>
    <w:unhideWhenUsed/>
    <w:pPr>
      <w:spacing w:after="100"/>
    </w:pPr>
  </w:style>
  <w:style w:type="character" w:styleId="945">
    <w:name w:val="Hyperlink"/>
    <w:basedOn w:val="931"/>
    <w:uiPriority w:val="99"/>
    <w:unhideWhenUsed/>
    <w:rPr>
      <w:color w:val="0000ff" w:themeColor="hyperlink"/>
      <w:u w:val="single"/>
    </w:rPr>
  </w:style>
  <w:style w:type="paragraph" w:styleId="946">
    <w:name w:val="footnote text"/>
    <w:basedOn w:val="928"/>
    <w:link w:val="947"/>
    <w:uiPriority w:val="99"/>
    <w:semiHidden/>
    <w:pPr>
      <w:spacing w:after="0" w:line="240" w:lineRule="auto"/>
    </w:pPr>
    <w:rPr>
      <w:sz w:val="20"/>
      <w:szCs w:val="20"/>
    </w:rPr>
  </w:style>
  <w:style w:type="character" w:styleId="947" w:customStyle="1">
    <w:name w:val="Текст сноски Знак"/>
    <w:basedOn w:val="931"/>
    <w:link w:val="946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948">
    <w:name w:val="footnote reference"/>
    <w:basedOn w:val="931"/>
    <w:uiPriority w:val="99"/>
    <w:semiHidden/>
    <w:rPr>
      <w:rFonts w:cs="Times New Roman"/>
      <w:vertAlign w:val="superscript"/>
    </w:rPr>
  </w:style>
  <w:style w:type="character" w:styleId="949" w:customStyle="1">
    <w:name w:val="Абзац списка Знак"/>
    <w:link w:val="938"/>
    <w:uiPriority w:val="99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D912C-CE87-4990-AE80-A0098F9C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YAKHNYUK Aleksandr S.</dc:creator>
  <cp:lastModifiedBy>yakovlev_kv</cp:lastModifiedBy>
  <cp:revision>12</cp:revision>
  <dcterms:created xsi:type="dcterms:W3CDTF">2021-08-23T11:17:00Z</dcterms:created>
  <dcterms:modified xsi:type="dcterms:W3CDTF">2026-01-27T13:06:14Z</dcterms:modified>
</cp:coreProperties>
</file>